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10563" w:type="dxa"/>
        <w:tblLook w:val="04A0"/>
      </w:tblPr>
      <w:tblGrid>
        <w:gridCol w:w="5635"/>
        <w:gridCol w:w="4928"/>
      </w:tblGrid>
      <w:tr w:rsidR="004A7F5C" w:rsidRPr="00D811A1" w:rsidTr="00812C0E">
        <w:tc>
          <w:tcPr>
            <w:tcW w:w="5635" w:type="dxa"/>
          </w:tcPr>
          <w:p w:rsidR="004A7F5C" w:rsidRPr="00D811A1" w:rsidRDefault="004A7F5C" w:rsidP="00812C0E">
            <w:pPr>
              <w:bidi/>
              <w:jc w:val="center"/>
              <w:rPr>
                <w:rFonts w:asciiTheme="majorBidi" w:hAnsiTheme="majorBidi" w:cstheme="majorBidi"/>
                <w:rtl/>
              </w:rPr>
            </w:pPr>
            <w:r>
              <w:rPr>
                <w:rStyle w:val="hps"/>
                <w:rFonts w:ascii="Arial" w:hAnsi="Arial" w:cs="Arial" w:hint="cs"/>
                <w:color w:val="000000"/>
                <w:rtl/>
              </w:rPr>
              <w:t>تطبيق</w:t>
            </w:r>
            <w:r>
              <w:rPr>
                <w:rStyle w:val="longtext"/>
                <w:rFonts w:ascii="Arial" w:hAnsi="Arial" w:cs="Arial" w:hint="cs"/>
                <w:color w:val="000000"/>
                <w:rtl/>
              </w:rPr>
              <w:t xml:space="preserve"> </w:t>
            </w:r>
            <w:r>
              <w:rPr>
                <w:rStyle w:val="hps"/>
                <w:rFonts w:ascii="Arial" w:hAnsi="Arial" w:cs="Arial" w:hint="cs"/>
                <w:color w:val="000000"/>
                <w:rtl/>
              </w:rPr>
              <w:t>تسليم</w:t>
            </w:r>
            <w:r>
              <w:rPr>
                <w:rStyle w:val="longtext"/>
                <w:rFonts w:ascii="Arial" w:hAnsi="Arial" w:cs="Arial" w:hint="cs"/>
                <w:color w:val="000000"/>
                <w:rtl/>
              </w:rPr>
              <w:t xml:space="preserve"> </w:t>
            </w:r>
            <w:r>
              <w:rPr>
                <w:rStyle w:val="hps"/>
                <w:rFonts w:ascii="Arial" w:hAnsi="Arial" w:cs="Arial" w:hint="cs"/>
                <w:color w:val="000000"/>
                <w:rtl/>
              </w:rPr>
              <w:t>العمودي</w:t>
            </w:r>
            <w:r>
              <w:rPr>
                <w:rStyle w:val="longtext"/>
                <w:rFonts w:ascii="Arial" w:hAnsi="Arial" w:cs="Arial" w:hint="cs"/>
                <w:color w:val="000000"/>
                <w:rtl/>
              </w:rPr>
              <w:t xml:space="preserve"> </w:t>
            </w:r>
            <w:r>
              <w:rPr>
                <w:rStyle w:val="hps"/>
                <w:rFonts w:ascii="Arial" w:hAnsi="Arial" w:cs="Arial" w:hint="cs"/>
                <w:color w:val="000000"/>
                <w:rtl/>
              </w:rPr>
              <w:t>المتوقعة (</w:t>
            </w:r>
            <w:r>
              <w:rPr>
                <w:rStyle w:val="longtext"/>
                <w:rFonts w:ascii="Arial" w:hAnsi="Arial" w:cs="Arial" w:hint="cs"/>
                <w:color w:val="000000"/>
              </w:rPr>
              <w:t>AVHO</w:t>
            </w:r>
            <w:r>
              <w:rPr>
                <w:rStyle w:val="longtext"/>
                <w:rFonts w:ascii="Arial" w:hAnsi="Arial" w:cs="Arial" w:hint="cs"/>
                <w:color w:val="000000"/>
                <w:rtl/>
              </w:rPr>
              <w:t xml:space="preserve">) </w:t>
            </w:r>
            <w:r>
              <w:rPr>
                <w:rStyle w:val="hps"/>
                <w:rFonts w:ascii="Arial" w:hAnsi="Arial" w:cs="Arial" w:hint="cs"/>
                <w:color w:val="000000"/>
                <w:rtl/>
              </w:rPr>
              <w:t>في</w:t>
            </w:r>
            <w:r>
              <w:rPr>
                <w:rStyle w:val="longtext"/>
                <w:rFonts w:ascii="Arial" w:hAnsi="Arial" w:cs="Arial" w:hint="cs"/>
                <w:color w:val="000000"/>
                <w:rtl/>
              </w:rPr>
              <w:t xml:space="preserve"> </w:t>
            </w:r>
            <w:r>
              <w:rPr>
                <w:rStyle w:val="hps"/>
                <w:rFonts w:ascii="Arial" w:hAnsi="Arial" w:cs="Arial" w:hint="cs"/>
                <w:color w:val="000000"/>
                <w:rtl/>
              </w:rPr>
              <w:t>شبكات الجيل التالي</w:t>
            </w:r>
          </w:p>
        </w:tc>
        <w:tc>
          <w:tcPr>
            <w:tcW w:w="4928" w:type="dxa"/>
          </w:tcPr>
          <w:p w:rsidR="004A7F5C" w:rsidRPr="00D811A1" w:rsidRDefault="004A7F5C" w:rsidP="00812C0E">
            <w:pPr>
              <w:bidi/>
              <w:jc w:val="right"/>
              <w:rPr>
                <w:rFonts w:asciiTheme="majorBidi" w:hAnsiTheme="majorBidi" w:cstheme="majorBidi"/>
                <w:rtl/>
              </w:rPr>
            </w:pPr>
            <w:r w:rsidRPr="00D811A1">
              <w:rPr>
                <w:rFonts w:asciiTheme="majorBidi" w:hAnsiTheme="majorBidi" w:cstheme="majorBidi"/>
              </w:rPr>
              <w:t>Research Title (Arabic)</w:t>
            </w:r>
          </w:p>
        </w:tc>
      </w:tr>
      <w:tr w:rsidR="004A7F5C" w:rsidRPr="00D811A1" w:rsidTr="00812C0E">
        <w:tc>
          <w:tcPr>
            <w:tcW w:w="5635" w:type="dxa"/>
          </w:tcPr>
          <w:p w:rsidR="004A7F5C" w:rsidRPr="00D811A1" w:rsidRDefault="004A7F5C" w:rsidP="00812C0E">
            <w:pPr>
              <w:ind w:left="720" w:right="480"/>
              <w:jc w:val="lowKashida"/>
              <w:rPr>
                <w:rFonts w:asciiTheme="majorBidi" w:hAnsiTheme="majorBidi" w:cstheme="majorBidi"/>
                <w:rtl/>
              </w:rPr>
            </w:pPr>
            <w:r w:rsidRPr="00D811A1">
              <w:rPr>
                <w:rFonts w:asciiTheme="majorBidi" w:hAnsiTheme="majorBidi" w:cstheme="majorBidi"/>
              </w:rPr>
              <w:t xml:space="preserve">Applying Anticipated vertical handover (AVHO) in Next Generation Networks". </w:t>
            </w:r>
          </w:p>
        </w:tc>
        <w:tc>
          <w:tcPr>
            <w:tcW w:w="4928" w:type="dxa"/>
          </w:tcPr>
          <w:p w:rsidR="004A7F5C" w:rsidRPr="00D811A1" w:rsidRDefault="004A7F5C" w:rsidP="00812C0E">
            <w:pPr>
              <w:bidi/>
              <w:jc w:val="right"/>
              <w:rPr>
                <w:rFonts w:asciiTheme="majorBidi" w:hAnsiTheme="majorBidi" w:cstheme="majorBidi"/>
                <w:rtl/>
              </w:rPr>
            </w:pPr>
            <w:r w:rsidRPr="00D811A1">
              <w:rPr>
                <w:rFonts w:asciiTheme="majorBidi" w:hAnsiTheme="majorBidi" w:cstheme="majorBidi"/>
              </w:rPr>
              <w:t>Research Title (English)</w:t>
            </w:r>
          </w:p>
        </w:tc>
      </w:tr>
      <w:tr w:rsidR="004A7F5C" w:rsidRPr="00D811A1" w:rsidTr="00812C0E">
        <w:tc>
          <w:tcPr>
            <w:tcW w:w="5635" w:type="dxa"/>
          </w:tcPr>
          <w:p w:rsidR="004A7F5C" w:rsidRPr="00D811A1" w:rsidRDefault="004A7F5C" w:rsidP="00812C0E">
            <w:pPr>
              <w:bidi/>
              <w:jc w:val="right"/>
              <w:rPr>
                <w:rFonts w:asciiTheme="majorBidi" w:hAnsiTheme="majorBidi" w:cstheme="majorBidi"/>
                <w:rtl/>
              </w:rPr>
            </w:pPr>
            <w:r>
              <w:rPr>
                <w:rStyle w:val="hps"/>
                <w:rFonts w:ascii="Arial" w:hAnsi="Arial" w:cs="Arial" w:hint="cs"/>
                <w:color w:val="000000"/>
                <w:rtl/>
              </w:rPr>
              <w:t>تسليم</w:t>
            </w:r>
            <w:r>
              <w:rPr>
                <w:rStyle w:val="longtext"/>
                <w:rFonts w:ascii="Arial" w:hAnsi="Arial" w:cs="Arial" w:hint="cs"/>
                <w:color w:val="000000"/>
                <w:rtl/>
              </w:rPr>
              <w:t xml:space="preserve"> </w:t>
            </w:r>
            <w:r>
              <w:rPr>
                <w:rStyle w:val="hps"/>
                <w:rFonts w:ascii="Arial" w:hAnsi="Arial" w:cs="Arial" w:hint="cs"/>
                <w:color w:val="000000"/>
                <w:rtl/>
              </w:rPr>
              <w:t>العمودي</w:t>
            </w:r>
          </w:p>
        </w:tc>
        <w:tc>
          <w:tcPr>
            <w:tcW w:w="4928" w:type="dxa"/>
          </w:tcPr>
          <w:p w:rsidR="004A7F5C" w:rsidRPr="00D811A1" w:rsidRDefault="004A7F5C" w:rsidP="00812C0E">
            <w:pPr>
              <w:bidi/>
              <w:jc w:val="right"/>
              <w:rPr>
                <w:rFonts w:asciiTheme="majorBidi" w:hAnsiTheme="majorBidi" w:cstheme="majorBidi"/>
                <w:rtl/>
              </w:rPr>
            </w:pPr>
            <w:r w:rsidRPr="00D811A1">
              <w:rPr>
                <w:rFonts w:asciiTheme="majorBidi" w:hAnsiTheme="majorBidi" w:cstheme="majorBidi"/>
              </w:rPr>
              <w:t>Research Topic (Arabic)</w:t>
            </w:r>
          </w:p>
        </w:tc>
      </w:tr>
      <w:tr w:rsidR="004A7F5C" w:rsidRPr="00D811A1" w:rsidTr="00812C0E">
        <w:tc>
          <w:tcPr>
            <w:tcW w:w="5635" w:type="dxa"/>
          </w:tcPr>
          <w:p w:rsidR="004A7F5C" w:rsidRPr="00D811A1" w:rsidRDefault="004A7F5C" w:rsidP="00812C0E">
            <w:pPr>
              <w:bidi/>
              <w:jc w:val="center"/>
              <w:rPr>
                <w:rFonts w:asciiTheme="majorBidi" w:hAnsiTheme="majorBidi" w:cstheme="majorBidi"/>
                <w:rtl/>
              </w:rPr>
            </w:pPr>
            <w:r w:rsidRPr="00D811A1">
              <w:rPr>
                <w:rFonts w:asciiTheme="majorBidi" w:hAnsiTheme="majorBidi" w:cstheme="majorBidi"/>
              </w:rPr>
              <w:t>Vertical Handover</w:t>
            </w:r>
          </w:p>
        </w:tc>
        <w:tc>
          <w:tcPr>
            <w:tcW w:w="4928" w:type="dxa"/>
          </w:tcPr>
          <w:p w:rsidR="004A7F5C" w:rsidRPr="00D811A1" w:rsidRDefault="004A7F5C" w:rsidP="00812C0E">
            <w:pPr>
              <w:bidi/>
              <w:jc w:val="right"/>
              <w:rPr>
                <w:rFonts w:asciiTheme="majorBidi" w:hAnsiTheme="majorBidi" w:cstheme="majorBidi"/>
                <w:rtl/>
              </w:rPr>
            </w:pPr>
            <w:r w:rsidRPr="00D811A1">
              <w:rPr>
                <w:rFonts w:asciiTheme="majorBidi" w:hAnsiTheme="majorBidi" w:cstheme="majorBidi"/>
              </w:rPr>
              <w:t>Research Topic (English)</w:t>
            </w:r>
          </w:p>
        </w:tc>
      </w:tr>
      <w:tr w:rsidR="004A7F5C" w:rsidRPr="00D811A1" w:rsidTr="00812C0E">
        <w:tc>
          <w:tcPr>
            <w:tcW w:w="5635" w:type="dxa"/>
          </w:tcPr>
          <w:p w:rsidR="004A7F5C" w:rsidRPr="00D811A1" w:rsidRDefault="004A7F5C" w:rsidP="00812C0E">
            <w:pPr>
              <w:bidi/>
              <w:jc w:val="center"/>
              <w:rPr>
                <w:rFonts w:asciiTheme="majorBidi" w:hAnsiTheme="majorBidi" w:cstheme="majorBidi"/>
                <w:rtl/>
              </w:rPr>
            </w:pPr>
          </w:p>
        </w:tc>
        <w:tc>
          <w:tcPr>
            <w:tcW w:w="4928" w:type="dxa"/>
          </w:tcPr>
          <w:p w:rsidR="004A7F5C" w:rsidRPr="00D811A1" w:rsidRDefault="004A7F5C" w:rsidP="00812C0E">
            <w:pPr>
              <w:bidi/>
              <w:jc w:val="right"/>
              <w:rPr>
                <w:rFonts w:asciiTheme="majorBidi" w:hAnsiTheme="majorBidi" w:cstheme="majorBidi"/>
                <w:rtl/>
              </w:rPr>
            </w:pPr>
            <w:r w:rsidRPr="00D811A1">
              <w:rPr>
                <w:rFonts w:asciiTheme="majorBidi" w:hAnsiTheme="majorBidi" w:cstheme="majorBidi"/>
              </w:rPr>
              <w:t>Publisher (Arabic)</w:t>
            </w:r>
          </w:p>
        </w:tc>
      </w:tr>
      <w:tr w:rsidR="004A7F5C" w:rsidRPr="00D811A1" w:rsidTr="00812C0E">
        <w:tc>
          <w:tcPr>
            <w:tcW w:w="5635" w:type="dxa"/>
          </w:tcPr>
          <w:p w:rsidR="004A7F5C" w:rsidRPr="00D811A1" w:rsidRDefault="004A7F5C" w:rsidP="00812C0E">
            <w:pPr>
              <w:bidi/>
              <w:jc w:val="right"/>
              <w:rPr>
                <w:rFonts w:asciiTheme="majorBidi" w:hAnsiTheme="majorBidi" w:cstheme="majorBidi"/>
                <w:rtl/>
              </w:rPr>
            </w:pPr>
            <w:r w:rsidRPr="00D811A1">
              <w:rPr>
                <w:rFonts w:asciiTheme="majorBidi" w:eastAsia="Times New Roman" w:hAnsiTheme="majorBidi" w:cstheme="majorBidi"/>
              </w:rPr>
              <w:t>IEEE Computer Society</w:t>
            </w:r>
          </w:p>
        </w:tc>
        <w:tc>
          <w:tcPr>
            <w:tcW w:w="4928" w:type="dxa"/>
          </w:tcPr>
          <w:p w:rsidR="004A7F5C" w:rsidRPr="00D811A1" w:rsidRDefault="004A7F5C" w:rsidP="00812C0E">
            <w:pPr>
              <w:bidi/>
              <w:jc w:val="right"/>
              <w:rPr>
                <w:rFonts w:asciiTheme="majorBidi" w:hAnsiTheme="majorBidi" w:cstheme="majorBidi"/>
                <w:rtl/>
              </w:rPr>
            </w:pPr>
            <w:r w:rsidRPr="00D811A1">
              <w:rPr>
                <w:rFonts w:asciiTheme="majorBidi" w:hAnsiTheme="majorBidi" w:cstheme="majorBidi"/>
              </w:rPr>
              <w:t>Publisher (English)</w:t>
            </w:r>
          </w:p>
        </w:tc>
      </w:tr>
      <w:tr w:rsidR="004A7F5C" w:rsidRPr="00D811A1" w:rsidTr="00812C0E">
        <w:tc>
          <w:tcPr>
            <w:tcW w:w="5635" w:type="dxa"/>
          </w:tcPr>
          <w:p w:rsidR="004A7F5C" w:rsidRPr="00D811A1" w:rsidRDefault="004A7F5C" w:rsidP="00812C0E">
            <w:pPr>
              <w:bidi/>
              <w:jc w:val="center"/>
              <w:rPr>
                <w:rFonts w:asciiTheme="majorBidi" w:hAnsiTheme="majorBidi" w:cstheme="majorBidi"/>
                <w:rtl/>
              </w:rPr>
            </w:pPr>
            <w:r>
              <w:rPr>
                <w:rFonts w:asciiTheme="majorBidi" w:hAnsiTheme="majorBidi" w:cstheme="majorBidi"/>
              </w:rPr>
              <w:t>2007</w:t>
            </w:r>
          </w:p>
        </w:tc>
        <w:tc>
          <w:tcPr>
            <w:tcW w:w="4928" w:type="dxa"/>
          </w:tcPr>
          <w:p w:rsidR="004A7F5C" w:rsidRPr="00D811A1" w:rsidRDefault="004A7F5C" w:rsidP="00812C0E">
            <w:pPr>
              <w:bidi/>
              <w:jc w:val="right"/>
              <w:rPr>
                <w:rFonts w:asciiTheme="majorBidi" w:hAnsiTheme="majorBidi" w:cstheme="majorBidi"/>
                <w:rtl/>
              </w:rPr>
            </w:pPr>
            <w:r w:rsidRPr="00D811A1">
              <w:rPr>
                <w:rFonts w:asciiTheme="majorBidi" w:hAnsiTheme="majorBidi" w:cstheme="majorBidi"/>
              </w:rPr>
              <w:t>Publishing Year (Arabic)</w:t>
            </w:r>
          </w:p>
        </w:tc>
      </w:tr>
      <w:tr w:rsidR="004A7F5C" w:rsidRPr="00D811A1" w:rsidTr="00812C0E">
        <w:tc>
          <w:tcPr>
            <w:tcW w:w="5635" w:type="dxa"/>
          </w:tcPr>
          <w:tbl>
            <w:tblPr>
              <w:tblW w:w="0" w:type="auto"/>
              <w:tblCellSpacing w:w="0" w:type="dxa"/>
              <w:tblCellMar>
                <w:top w:w="15" w:type="dxa"/>
                <w:left w:w="15" w:type="dxa"/>
                <w:bottom w:w="15" w:type="dxa"/>
                <w:right w:w="15" w:type="dxa"/>
              </w:tblCellMar>
              <w:tblLook w:val="04A0"/>
            </w:tblPr>
            <w:tblGrid>
              <w:gridCol w:w="5419"/>
            </w:tblGrid>
            <w:tr w:rsidR="004A7F5C" w:rsidRPr="00D811A1" w:rsidTr="00812C0E">
              <w:trPr>
                <w:tblCellSpacing w:w="0" w:type="dxa"/>
              </w:trPr>
              <w:tc>
                <w:tcPr>
                  <w:tcW w:w="0" w:type="auto"/>
                  <w:tcMar>
                    <w:top w:w="15" w:type="dxa"/>
                    <w:left w:w="150" w:type="dxa"/>
                    <w:bottom w:w="15" w:type="dxa"/>
                    <w:right w:w="15" w:type="dxa"/>
                  </w:tcMar>
                  <w:hideMark/>
                </w:tcPr>
                <w:p w:rsidR="004A7F5C" w:rsidRPr="00D811A1" w:rsidRDefault="004A7F5C" w:rsidP="00812C0E">
                  <w:pPr>
                    <w:spacing w:after="0" w:line="240" w:lineRule="auto"/>
                    <w:rPr>
                      <w:rFonts w:asciiTheme="majorBidi" w:eastAsia="Times New Roman" w:hAnsiTheme="majorBidi" w:cstheme="majorBidi"/>
                    </w:rPr>
                  </w:pPr>
                  <w:r w:rsidRPr="00D811A1">
                    <w:rPr>
                      <w:rFonts w:asciiTheme="majorBidi" w:eastAsia="Times New Roman" w:hAnsiTheme="majorBidi" w:cstheme="majorBidi"/>
                    </w:rPr>
                    <w:t xml:space="preserve">Proceedings of the Fourth European Conference on Universal Multiservice Networks </w:t>
                  </w:r>
                </w:p>
              </w:tc>
            </w:tr>
            <w:tr w:rsidR="004A7F5C" w:rsidRPr="00D811A1" w:rsidTr="00812C0E">
              <w:trPr>
                <w:tblCellSpacing w:w="0" w:type="dxa"/>
              </w:trPr>
              <w:tc>
                <w:tcPr>
                  <w:tcW w:w="0" w:type="auto"/>
                  <w:tcMar>
                    <w:top w:w="15" w:type="dxa"/>
                    <w:left w:w="150" w:type="dxa"/>
                    <w:bottom w:w="150" w:type="dxa"/>
                    <w:right w:w="15" w:type="dxa"/>
                  </w:tcMar>
                  <w:hideMark/>
                </w:tcPr>
                <w:p w:rsidR="004A7F5C" w:rsidRPr="00D811A1" w:rsidRDefault="004A7F5C" w:rsidP="00812C0E">
                  <w:pPr>
                    <w:spacing w:after="0" w:line="240" w:lineRule="auto"/>
                    <w:rPr>
                      <w:rFonts w:asciiTheme="majorBidi" w:eastAsia="Times New Roman" w:hAnsiTheme="majorBidi" w:cstheme="majorBidi"/>
                    </w:rPr>
                  </w:pPr>
                  <w:r w:rsidRPr="00D811A1">
                    <w:rPr>
                      <w:rFonts w:asciiTheme="majorBidi" w:eastAsia="Times New Roman" w:hAnsiTheme="majorBidi" w:cstheme="majorBidi"/>
                    </w:rPr>
                    <w:t>2007</w:t>
                  </w:r>
                </w:p>
              </w:tc>
            </w:tr>
          </w:tbl>
          <w:p w:rsidR="004A7F5C" w:rsidRPr="00D811A1" w:rsidRDefault="004A7F5C" w:rsidP="00812C0E">
            <w:pPr>
              <w:bidi/>
              <w:jc w:val="right"/>
              <w:rPr>
                <w:rFonts w:asciiTheme="majorBidi" w:hAnsiTheme="majorBidi" w:cstheme="majorBidi"/>
                <w:rtl/>
              </w:rPr>
            </w:pPr>
          </w:p>
        </w:tc>
        <w:tc>
          <w:tcPr>
            <w:tcW w:w="4928" w:type="dxa"/>
          </w:tcPr>
          <w:p w:rsidR="004A7F5C" w:rsidRPr="00D811A1" w:rsidRDefault="004A7F5C" w:rsidP="00812C0E">
            <w:pPr>
              <w:bidi/>
              <w:jc w:val="right"/>
              <w:rPr>
                <w:rFonts w:asciiTheme="majorBidi" w:hAnsiTheme="majorBidi" w:cstheme="majorBidi"/>
                <w:rtl/>
              </w:rPr>
            </w:pPr>
            <w:r w:rsidRPr="00D811A1">
              <w:rPr>
                <w:rFonts w:asciiTheme="majorBidi" w:hAnsiTheme="majorBidi" w:cstheme="majorBidi"/>
              </w:rPr>
              <w:t>Publishing Year (English)</w:t>
            </w:r>
          </w:p>
        </w:tc>
      </w:tr>
      <w:tr w:rsidR="004A7F5C" w:rsidRPr="00D811A1" w:rsidTr="00812C0E">
        <w:tc>
          <w:tcPr>
            <w:tcW w:w="5635" w:type="dxa"/>
          </w:tcPr>
          <w:p w:rsidR="004A7F5C" w:rsidRPr="00D811A1" w:rsidRDefault="004A7F5C" w:rsidP="00812C0E">
            <w:pPr>
              <w:pStyle w:val="ListParagraph"/>
              <w:bidi/>
              <w:ind w:left="0"/>
              <w:jc w:val="right"/>
              <w:rPr>
                <w:rFonts w:asciiTheme="majorBidi" w:hAnsiTheme="majorBidi" w:cstheme="majorBidi"/>
                <w:rtl/>
              </w:rPr>
            </w:pPr>
            <w:r w:rsidRPr="00D811A1">
              <w:rPr>
                <w:rFonts w:asciiTheme="majorBidi" w:hAnsiTheme="majorBidi" w:cstheme="majorBidi"/>
              </w:rPr>
              <w:t>0-7695-2768-X</w:t>
            </w:r>
          </w:p>
        </w:tc>
        <w:tc>
          <w:tcPr>
            <w:tcW w:w="4928" w:type="dxa"/>
          </w:tcPr>
          <w:p w:rsidR="004A7F5C" w:rsidRPr="00D811A1" w:rsidRDefault="004A7F5C" w:rsidP="00812C0E">
            <w:pPr>
              <w:pStyle w:val="ListParagraph"/>
              <w:bidi/>
              <w:ind w:left="0"/>
              <w:jc w:val="right"/>
              <w:rPr>
                <w:rFonts w:asciiTheme="majorBidi" w:hAnsiTheme="majorBidi" w:cstheme="majorBidi"/>
                <w:rtl/>
              </w:rPr>
            </w:pPr>
            <w:r w:rsidRPr="00D811A1">
              <w:rPr>
                <w:rFonts w:asciiTheme="majorBidi" w:hAnsiTheme="majorBidi" w:cstheme="majorBidi"/>
              </w:rPr>
              <w:t>ISBN</w:t>
            </w:r>
          </w:p>
        </w:tc>
      </w:tr>
      <w:tr w:rsidR="004A7F5C" w:rsidRPr="00D811A1" w:rsidTr="00812C0E">
        <w:tc>
          <w:tcPr>
            <w:tcW w:w="5635" w:type="dxa"/>
          </w:tcPr>
          <w:p w:rsidR="004A7F5C" w:rsidRPr="00D811A1" w:rsidRDefault="004A7F5C" w:rsidP="00812C0E">
            <w:pPr>
              <w:pStyle w:val="ListParagraph"/>
              <w:bidi/>
              <w:ind w:left="0"/>
              <w:jc w:val="center"/>
              <w:rPr>
                <w:rFonts w:asciiTheme="majorBidi" w:hAnsiTheme="majorBidi" w:cstheme="majorBidi"/>
                <w:rtl/>
              </w:rPr>
            </w:pPr>
            <w:r>
              <w:rPr>
                <w:rStyle w:val="hps"/>
                <w:rFonts w:ascii="Arial" w:hAnsi="Arial" w:cs="Arial" w:hint="cs"/>
                <w:color w:val="000000"/>
                <w:rtl/>
              </w:rPr>
              <w:t>تسليم</w:t>
            </w:r>
            <w:r>
              <w:rPr>
                <w:rStyle w:val="longtext"/>
                <w:rFonts w:ascii="Arial" w:hAnsi="Arial" w:cs="Arial" w:hint="cs"/>
                <w:color w:val="000000"/>
                <w:rtl/>
              </w:rPr>
              <w:t xml:space="preserve"> </w:t>
            </w:r>
            <w:r>
              <w:rPr>
                <w:rStyle w:val="hps"/>
                <w:rFonts w:ascii="Arial" w:hAnsi="Arial" w:cs="Arial" w:hint="cs"/>
                <w:color w:val="000000"/>
                <w:rtl/>
              </w:rPr>
              <w:t>العمودي</w:t>
            </w:r>
          </w:p>
        </w:tc>
        <w:tc>
          <w:tcPr>
            <w:tcW w:w="4928" w:type="dxa"/>
          </w:tcPr>
          <w:p w:rsidR="004A7F5C" w:rsidRPr="00D811A1" w:rsidRDefault="004A7F5C" w:rsidP="00812C0E">
            <w:pPr>
              <w:pStyle w:val="ListParagraph"/>
              <w:bidi/>
              <w:ind w:left="0"/>
              <w:jc w:val="right"/>
              <w:rPr>
                <w:rFonts w:asciiTheme="majorBidi" w:hAnsiTheme="majorBidi" w:cstheme="majorBidi"/>
                <w:rtl/>
              </w:rPr>
            </w:pPr>
            <w:r w:rsidRPr="00D811A1">
              <w:rPr>
                <w:rFonts w:asciiTheme="majorBidi" w:hAnsiTheme="majorBidi" w:cstheme="majorBidi"/>
              </w:rPr>
              <w:t>Key Words (Arabic)</w:t>
            </w:r>
          </w:p>
        </w:tc>
      </w:tr>
      <w:tr w:rsidR="004A7F5C" w:rsidRPr="00D811A1" w:rsidTr="00812C0E">
        <w:tc>
          <w:tcPr>
            <w:tcW w:w="5635" w:type="dxa"/>
          </w:tcPr>
          <w:p w:rsidR="004A7F5C" w:rsidRPr="00D811A1" w:rsidRDefault="004A7F5C" w:rsidP="00812C0E">
            <w:pPr>
              <w:pStyle w:val="ListParagraph"/>
              <w:bidi/>
              <w:ind w:left="0"/>
              <w:jc w:val="center"/>
              <w:rPr>
                <w:rFonts w:asciiTheme="majorBidi" w:hAnsiTheme="majorBidi" w:cstheme="majorBidi"/>
              </w:rPr>
            </w:pPr>
            <w:r>
              <w:rPr>
                <w:rFonts w:asciiTheme="majorBidi" w:hAnsiTheme="majorBidi" w:cstheme="majorBidi"/>
              </w:rPr>
              <w:t>Vertical handover</w:t>
            </w:r>
          </w:p>
        </w:tc>
        <w:tc>
          <w:tcPr>
            <w:tcW w:w="4928" w:type="dxa"/>
          </w:tcPr>
          <w:p w:rsidR="004A7F5C" w:rsidRPr="00D811A1" w:rsidRDefault="004A7F5C" w:rsidP="00812C0E">
            <w:pPr>
              <w:pStyle w:val="ListParagraph"/>
              <w:bidi/>
              <w:ind w:left="0"/>
              <w:jc w:val="right"/>
              <w:rPr>
                <w:rFonts w:asciiTheme="majorBidi" w:hAnsiTheme="majorBidi" w:cstheme="majorBidi"/>
                <w:rtl/>
              </w:rPr>
            </w:pPr>
            <w:r w:rsidRPr="00D811A1">
              <w:rPr>
                <w:rFonts w:asciiTheme="majorBidi" w:hAnsiTheme="majorBidi" w:cstheme="majorBidi"/>
              </w:rPr>
              <w:t>Key Words (English )</w:t>
            </w:r>
          </w:p>
        </w:tc>
      </w:tr>
      <w:tr w:rsidR="004A7F5C" w:rsidRPr="00D811A1" w:rsidTr="00812C0E">
        <w:tc>
          <w:tcPr>
            <w:tcW w:w="5635" w:type="dxa"/>
          </w:tcPr>
          <w:p w:rsidR="004A7F5C" w:rsidRPr="00D811A1" w:rsidRDefault="004A7F5C" w:rsidP="00812C0E">
            <w:pPr>
              <w:ind w:left="720" w:right="480"/>
              <w:jc w:val="lowKashida"/>
              <w:rPr>
                <w:rFonts w:asciiTheme="majorBidi" w:hAnsiTheme="majorBidi" w:cstheme="majorBidi"/>
                <w:lang w:bidi="ar-LB"/>
              </w:rPr>
            </w:pPr>
            <w:r w:rsidRPr="00D811A1">
              <w:rPr>
                <w:rFonts w:asciiTheme="majorBidi" w:hAnsiTheme="majorBidi" w:cstheme="majorBidi"/>
              </w:rPr>
              <w:t>ECUMN'2007, Toulouse, France.</w:t>
            </w:r>
          </w:p>
          <w:p w:rsidR="004A7F5C" w:rsidRPr="00D811A1" w:rsidRDefault="004A7F5C" w:rsidP="00812C0E">
            <w:pPr>
              <w:pStyle w:val="ListParagraph"/>
              <w:bidi/>
              <w:ind w:left="0"/>
              <w:jc w:val="center"/>
              <w:rPr>
                <w:rFonts w:asciiTheme="majorBidi" w:hAnsiTheme="majorBidi" w:cstheme="majorBidi"/>
                <w:rtl/>
              </w:rPr>
            </w:pPr>
          </w:p>
        </w:tc>
        <w:tc>
          <w:tcPr>
            <w:tcW w:w="4928" w:type="dxa"/>
          </w:tcPr>
          <w:p w:rsidR="004A7F5C" w:rsidRPr="00D811A1" w:rsidRDefault="004A7F5C" w:rsidP="00812C0E">
            <w:pPr>
              <w:pStyle w:val="ListParagraph"/>
              <w:bidi/>
              <w:ind w:left="0"/>
              <w:jc w:val="right"/>
              <w:rPr>
                <w:rFonts w:asciiTheme="majorBidi" w:hAnsiTheme="majorBidi" w:cstheme="majorBidi"/>
                <w:rtl/>
              </w:rPr>
            </w:pPr>
            <w:r w:rsidRPr="00D811A1">
              <w:rPr>
                <w:rFonts w:asciiTheme="majorBidi" w:hAnsiTheme="majorBidi" w:cstheme="majorBidi"/>
              </w:rPr>
              <w:t>Journal Name, or (Conference + place and date being held)</w:t>
            </w:r>
          </w:p>
        </w:tc>
      </w:tr>
      <w:tr w:rsidR="004A7F5C" w:rsidRPr="00D811A1" w:rsidTr="00812C0E">
        <w:tc>
          <w:tcPr>
            <w:tcW w:w="5635" w:type="dxa"/>
          </w:tcPr>
          <w:p w:rsidR="004A7F5C" w:rsidRPr="00D811A1" w:rsidRDefault="004A7F5C" w:rsidP="00812C0E">
            <w:pPr>
              <w:pStyle w:val="ListParagraph"/>
              <w:bidi/>
              <w:ind w:left="0"/>
              <w:jc w:val="center"/>
              <w:rPr>
                <w:rFonts w:asciiTheme="majorBidi" w:hAnsiTheme="majorBidi" w:cstheme="majorBidi"/>
                <w:rtl/>
              </w:rPr>
            </w:pPr>
          </w:p>
        </w:tc>
        <w:tc>
          <w:tcPr>
            <w:tcW w:w="4928" w:type="dxa"/>
          </w:tcPr>
          <w:p w:rsidR="004A7F5C" w:rsidRPr="00D811A1" w:rsidRDefault="004A7F5C" w:rsidP="00812C0E">
            <w:pPr>
              <w:pStyle w:val="ListParagraph"/>
              <w:bidi/>
              <w:ind w:left="0"/>
              <w:jc w:val="right"/>
              <w:rPr>
                <w:rFonts w:asciiTheme="majorBidi" w:hAnsiTheme="majorBidi" w:cstheme="majorBidi"/>
                <w:rtl/>
              </w:rPr>
            </w:pPr>
            <w:r w:rsidRPr="00D811A1">
              <w:rPr>
                <w:rFonts w:asciiTheme="majorBidi" w:hAnsiTheme="majorBidi" w:cstheme="majorBidi"/>
              </w:rPr>
              <w:t>Volume No. or Issue No. and the Number of Pages in case it has been published in a scientific journal</w:t>
            </w:r>
          </w:p>
        </w:tc>
      </w:tr>
      <w:tr w:rsidR="004A7F5C" w:rsidRPr="00D811A1" w:rsidTr="00812C0E">
        <w:tc>
          <w:tcPr>
            <w:tcW w:w="5635" w:type="dxa"/>
          </w:tcPr>
          <w:p w:rsidR="004A7F5C" w:rsidRPr="00D811A1" w:rsidRDefault="004A7F5C" w:rsidP="00812C0E">
            <w:pPr>
              <w:pStyle w:val="ListParagraph"/>
              <w:bidi/>
              <w:ind w:left="0"/>
              <w:jc w:val="center"/>
              <w:rPr>
                <w:rFonts w:asciiTheme="majorBidi" w:hAnsiTheme="majorBidi" w:cstheme="majorBidi"/>
              </w:rPr>
            </w:pPr>
          </w:p>
          <w:p w:rsidR="004A7F5C" w:rsidRPr="00EE6169" w:rsidRDefault="004A7F5C" w:rsidP="00812C0E">
            <w:pPr>
              <w:bidi/>
              <w:textAlignment w:val="top"/>
              <w:rPr>
                <w:rFonts w:ascii="Arial" w:eastAsia="Times New Roman" w:hAnsi="Arial" w:cs="Arial"/>
                <w:color w:val="888888"/>
                <w:sz w:val="16"/>
                <w:szCs w:val="16"/>
              </w:rPr>
            </w:pPr>
            <w:r w:rsidRPr="00EE6169">
              <w:rPr>
                <w:rFonts w:ascii="Arial" w:eastAsia="Times New Roman" w:hAnsi="Arial" w:cs="Arial" w:hint="cs"/>
                <w:color w:val="000000"/>
                <w:szCs w:val="20"/>
                <w:rtl/>
              </w:rPr>
              <w:t>تصف هذه الورقة التنقل بين الشبكات المحلية اللاسلكية</w:t>
            </w:r>
            <w:r>
              <w:rPr>
                <w:rFonts w:ascii="Arial" w:eastAsia="Times New Roman" w:hAnsi="Arial" w:cs="Arial"/>
                <w:color w:val="000000"/>
                <w:szCs w:val="20"/>
              </w:rPr>
              <w:t xml:space="preserve"> </w:t>
            </w:r>
            <w:r>
              <w:rPr>
                <w:rFonts w:ascii="Arial" w:eastAsia="Times New Roman" w:hAnsi="Arial" w:cs="Arial" w:hint="cs"/>
                <w:color w:val="000000"/>
                <w:szCs w:val="20"/>
                <w:rtl/>
              </w:rPr>
              <w:t>اذ</w:t>
            </w:r>
            <w:r w:rsidRPr="00EE6169">
              <w:rPr>
                <w:rFonts w:ascii="Arial" w:eastAsia="Times New Roman" w:hAnsi="Arial" w:cs="Arial" w:hint="cs"/>
                <w:color w:val="000000"/>
                <w:szCs w:val="20"/>
                <w:rtl/>
              </w:rPr>
              <w:t xml:space="preserve"> من المتوقع وصول اثنين من التكنولوجيات والتقنيات يو ام تى اس تعتبر مكملة لشبكات الجيل التالي التكامل. ونقترح لتطبيق تسليم عمودي </w:t>
            </w:r>
            <w:r>
              <w:rPr>
                <w:rFonts w:ascii="Arial" w:eastAsia="Times New Roman" w:hAnsi="Arial" w:cs="Arial" w:hint="cs"/>
                <w:color w:val="000000"/>
                <w:szCs w:val="20"/>
                <w:rtl/>
              </w:rPr>
              <w:t xml:space="preserve">متوقع </w:t>
            </w:r>
            <w:r w:rsidRPr="00EE6169">
              <w:rPr>
                <w:rFonts w:ascii="Arial" w:eastAsia="Times New Roman" w:hAnsi="Arial" w:cs="Arial" w:hint="cs"/>
                <w:color w:val="000000"/>
                <w:szCs w:val="20"/>
                <w:rtl/>
              </w:rPr>
              <w:t>(</w:t>
            </w:r>
            <w:r w:rsidRPr="00EE6169">
              <w:rPr>
                <w:rFonts w:ascii="Arial" w:eastAsia="Times New Roman" w:hAnsi="Arial" w:cs="Arial" w:hint="cs"/>
                <w:color w:val="000000"/>
                <w:szCs w:val="20"/>
              </w:rPr>
              <w:t>AVHO</w:t>
            </w:r>
            <w:r w:rsidRPr="00EE6169">
              <w:rPr>
                <w:rFonts w:ascii="Arial" w:eastAsia="Times New Roman" w:hAnsi="Arial" w:cs="Arial" w:hint="cs"/>
                <w:color w:val="000000"/>
                <w:szCs w:val="20"/>
                <w:rtl/>
              </w:rPr>
              <w:t>) في دمج الاتصالات اللاسلكية من الجيل الثالث (3</w:t>
            </w:r>
            <w:r w:rsidRPr="00EE6169">
              <w:rPr>
                <w:rFonts w:ascii="Arial" w:eastAsia="Times New Roman" w:hAnsi="Arial" w:cs="Arial" w:hint="cs"/>
                <w:color w:val="000000"/>
                <w:szCs w:val="20"/>
              </w:rPr>
              <w:t>G</w:t>
            </w:r>
            <w:r w:rsidRPr="00EE6169">
              <w:rPr>
                <w:rFonts w:ascii="Arial" w:eastAsia="Times New Roman" w:hAnsi="Arial" w:cs="Arial" w:hint="cs"/>
                <w:color w:val="000000"/>
                <w:szCs w:val="20"/>
                <w:rtl/>
              </w:rPr>
              <w:t xml:space="preserve">) من جانب واحد والشبكات المحلية اللاسلكية 802،11 من الجانب الآخر. واقترح </w:t>
            </w:r>
            <w:r w:rsidRPr="00EE6169">
              <w:rPr>
                <w:rFonts w:ascii="Arial" w:eastAsia="Times New Roman" w:hAnsi="Arial" w:cs="Arial" w:hint="cs"/>
                <w:color w:val="000000"/>
                <w:szCs w:val="20"/>
              </w:rPr>
              <w:t>AVHO</w:t>
            </w:r>
            <w:r w:rsidRPr="00EE6169">
              <w:rPr>
                <w:rFonts w:ascii="Arial" w:eastAsia="Times New Roman" w:hAnsi="Arial" w:cs="Arial" w:hint="cs"/>
                <w:color w:val="000000"/>
                <w:szCs w:val="20"/>
                <w:rtl/>
              </w:rPr>
              <w:t xml:space="preserve"> عروض مستخدمي الهاتف النقال، خدمة التجوال في شبكات الجيل القادم، تسليم سريع استنادا إلى ما قبل اختيار الشبكة  </w:t>
            </w:r>
            <w:r w:rsidRPr="00EE6169">
              <w:rPr>
                <w:rFonts w:ascii="Arial" w:eastAsia="Times New Roman" w:hAnsi="Arial" w:cs="Arial" w:hint="cs"/>
                <w:color w:val="000000"/>
                <w:szCs w:val="20"/>
              </w:rPr>
              <w:t>AVHO</w:t>
            </w:r>
            <w:r w:rsidRPr="00EE6169">
              <w:rPr>
                <w:rFonts w:ascii="Arial" w:eastAsia="Times New Roman" w:hAnsi="Arial" w:cs="Arial" w:hint="cs"/>
                <w:color w:val="000000"/>
                <w:szCs w:val="20"/>
                <w:rtl/>
              </w:rPr>
              <w:t xml:space="preserve"> في سياق الشبكات اللاسلكية لتسليم يو ام تى اس، والعكس بالعكس لضمان استمرارية الخدمة</w:t>
            </w:r>
            <w:r>
              <w:rPr>
                <w:rFonts w:ascii="Arial" w:eastAsia="Times New Roman" w:hAnsi="Arial" w:cs="Arial" w:hint="cs"/>
                <w:color w:val="000000"/>
                <w:szCs w:val="20"/>
                <w:rtl/>
              </w:rPr>
              <w:t xml:space="preserve"> مع</w:t>
            </w:r>
            <w:r w:rsidRPr="00EE6169">
              <w:rPr>
                <w:rFonts w:ascii="Arial" w:eastAsia="Times New Roman" w:hAnsi="Arial" w:cs="Arial" w:hint="cs"/>
                <w:color w:val="000000"/>
                <w:szCs w:val="20"/>
                <w:rtl/>
              </w:rPr>
              <w:t xml:space="preserve"> الحد الأدنى.</w:t>
            </w:r>
          </w:p>
          <w:p w:rsidR="004A7F5C" w:rsidRPr="00EE6169" w:rsidRDefault="004A7F5C" w:rsidP="00812C0E">
            <w:pPr>
              <w:bidi/>
              <w:textAlignment w:val="top"/>
              <w:rPr>
                <w:rFonts w:ascii="Arial" w:eastAsia="Times New Roman" w:hAnsi="Arial" w:cs="Arial"/>
                <w:vanish/>
                <w:color w:val="1111CC"/>
                <w:sz w:val="16"/>
                <w:szCs w:val="16"/>
                <w:rtl/>
              </w:rPr>
            </w:pPr>
            <w:r w:rsidRPr="00EE6169">
              <w:rPr>
                <w:rFonts w:ascii="Arial" w:eastAsia="Times New Roman" w:hAnsi="Arial" w:cs="Arial"/>
                <w:vanish/>
                <w:color w:val="1111CC"/>
                <w:szCs w:val="16"/>
                <w:rtl/>
              </w:rPr>
              <w:t>الاستماع</w:t>
            </w:r>
          </w:p>
          <w:p w:rsidR="004A7F5C" w:rsidRPr="00EE6169" w:rsidRDefault="004A7F5C" w:rsidP="00812C0E">
            <w:pPr>
              <w:bidi/>
              <w:textAlignment w:val="top"/>
              <w:rPr>
                <w:rFonts w:ascii="Arial" w:eastAsia="Times New Roman" w:hAnsi="Arial" w:cs="Arial"/>
                <w:vanish/>
                <w:color w:val="1111CC"/>
                <w:sz w:val="16"/>
                <w:szCs w:val="16"/>
                <w:rtl/>
              </w:rPr>
            </w:pPr>
            <w:r w:rsidRPr="00EE6169">
              <w:rPr>
                <w:rFonts w:ascii="Arial" w:eastAsia="Times New Roman" w:hAnsi="Arial" w:cs="Arial"/>
                <w:vanish/>
                <w:color w:val="1111CC"/>
                <w:szCs w:val="16"/>
                <w:rtl/>
              </w:rPr>
              <w:t>قراءة صوتية للكلمات</w:t>
            </w:r>
          </w:p>
          <w:p w:rsidR="004A7F5C" w:rsidRPr="00EE6169" w:rsidRDefault="004A7F5C" w:rsidP="00812C0E">
            <w:pPr>
              <w:spacing w:line="360" w:lineRule="atLeast"/>
              <w:textAlignment w:val="top"/>
              <w:rPr>
                <w:rFonts w:ascii="Lucida Sans Unicode" w:eastAsia="Times New Roman" w:hAnsi="Lucida Sans Unicode" w:cs="Lucida Sans Unicode"/>
                <w:vanish/>
                <w:color w:val="777777"/>
                <w:sz w:val="16"/>
                <w:szCs w:val="16"/>
                <w:rtl/>
              </w:rPr>
            </w:pPr>
            <w:r w:rsidRPr="00EE6169">
              <w:rPr>
                <w:rFonts w:ascii="Lucida Sans Unicode" w:eastAsia="Times New Roman" w:hAnsi="Lucida Sans Unicode" w:cs="Lucida Sans Unicode"/>
                <w:vanish/>
                <w:color w:val="777777"/>
                <w:sz w:val="16"/>
                <w:szCs w:val="16"/>
              </w:rPr>
              <w:t> </w:t>
            </w:r>
          </w:p>
          <w:p w:rsidR="004A7F5C" w:rsidRPr="00EE6169" w:rsidRDefault="004A7F5C" w:rsidP="00812C0E">
            <w:pPr>
              <w:bidi/>
              <w:spacing w:after="125" w:line="200" w:lineRule="atLeast"/>
              <w:textAlignment w:val="top"/>
              <w:outlineLvl w:val="3"/>
              <w:rPr>
                <w:rFonts w:ascii="Arial" w:eastAsia="Times New Roman" w:hAnsi="Arial" w:cs="Arial"/>
                <w:vanish/>
                <w:color w:val="888888"/>
                <w:sz w:val="16"/>
                <w:szCs w:val="16"/>
              </w:rPr>
            </w:pPr>
            <w:r w:rsidRPr="00EE6169">
              <w:rPr>
                <w:rFonts w:ascii="Arial" w:eastAsia="Times New Roman" w:hAnsi="Arial" w:cs="Arial"/>
                <w:vanish/>
                <w:color w:val="888888"/>
                <w:sz w:val="16"/>
                <w:szCs w:val="16"/>
                <w:rtl/>
              </w:rPr>
              <w:t xml:space="preserve">القاموس - </w:t>
            </w:r>
            <w:hyperlink r:id="rId4" w:history="1">
              <w:r w:rsidRPr="00EE6169">
                <w:rPr>
                  <w:rFonts w:ascii="Arial" w:eastAsia="Times New Roman" w:hAnsi="Arial" w:cs="Arial"/>
                  <w:vanish/>
                  <w:color w:val="4272DB"/>
                  <w:sz w:val="16"/>
                  <w:szCs w:val="16"/>
                  <w:rtl/>
                </w:rPr>
                <w:t>عرض القاموس المفصل</w:t>
              </w:r>
            </w:hyperlink>
          </w:p>
          <w:p w:rsidR="004A7F5C" w:rsidRPr="00EE6169" w:rsidRDefault="004A7F5C" w:rsidP="00812C0E">
            <w:pPr>
              <w:pStyle w:val="ListParagraph"/>
              <w:bidi/>
              <w:ind w:left="0"/>
              <w:jc w:val="center"/>
              <w:rPr>
                <w:rFonts w:asciiTheme="majorBidi" w:hAnsiTheme="majorBidi" w:cstheme="majorBidi"/>
              </w:rPr>
            </w:pPr>
          </w:p>
          <w:p w:rsidR="004A7F5C" w:rsidRPr="00D811A1" w:rsidRDefault="004A7F5C" w:rsidP="00812C0E">
            <w:pPr>
              <w:pStyle w:val="ListParagraph"/>
              <w:bidi/>
              <w:ind w:left="0"/>
              <w:jc w:val="center"/>
              <w:rPr>
                <w:rFonts w:asciiTheme="majorBidi" w:hAnsiTheme="majorBidi" w:cstheme="majorBidi"/>
              </w:rPr>
            </w:pPr>
          </w:p>
          <w:p w:rsidR="004A7F5C" w:rsidRPr="00D811A1" w:rsidRDefault="004A7F5C" w:rsidP="00812C0E">
            <w:pPr>
              <w:pStyle w:val="ListParagraph"/>
              <w:bidi/>
              <w:ind w:left="0"/>
              <w:jc w:val="center"/>
              <w:rPr>
                <w:rFonts w:asciiTheme="majorBidi" w:hAnsiTheme="majorBidi" w:cstheme="majorBidi"/>
                <w:rtl/>
              </w:rPr>
            </w:pPr>
          </w:p>
        </w:tc>
        <w:tc>
          <w:tcPr>
            <w:tcW w:w="4928" w:type="dxa"/>
          </w:tcPr>
          <w:p w:rsidR="004A7F5C" w:rsidRPr="00D811A1" w:rsidRDefault="004A7F5C" w:rsidP="00812C0E">
            <w:pPr>
              <w:pStyle w:val="ListParagraph"/>
              <w:bidi/>
              <w:ind w:left="0"/>
              <w:jc w:val="right"/>
              <w:rPr>
                <w:rFonts w:asciiTheme="majorBidi" w:hAnsiTheme="majorBidi" w:cstheme="majorBidi"/>
                <w:rtl/>
              </w:rPr>
            </w:pPr>
            <w:r w:rsidRPr="00D811A1">
              <w:rPr>
                <w:rFonts w:asciiTheme="majorBidi" w:hAnsiTheme="majorBidi" w:cstheme="majorBidi"/>
              </w:rPr>
              <w:t>Research Abstract (Arabic)</w:t>
            </w:r>
          </w:p>
          <w:p w:rsidR="004A7F5C" w:rsidRPr="00D811A1" w:rsidRDefault="004A7F5C" w:rsidP="00812C0E">
            <w:pPr>
              <w:pStyle w:val="ListParagraph"/>
              <w:bidi/>
              <w:ind w:left="0"/>
              <w:jc w:val="right"/>
              <w:rPr>
                <w:rFonts w:asciiTheme="majorBidi" w:hAnsiTheme="majorBidi" w:cstheme="majorBidi"/>
                <w:rtl/>
              </w:rPr>
            </w:pPr>
          </w:p>
        </w:tc>
      </w:tr>
      <w:tr w:rsidR="004A7F5C" w:rsidRPr="00D811A1" w:rsidTr="00812C0E">
        <w:trPr>
          <w:trHeight w:val="576"/>
        </w:trPr>
        <w:tc>
          <w:tcPr>
            <w:tcW w:w="5635" w:type="dxa"/>
          </w:tcPr>
          <w:p w:rsidR="004A7F5C" w:rsidRPr="00D811A1" w:rsidRDefault="004A7F5C" w:rsidP="00812C0E">
            <w:pPr>
              <w:pStyle w:val="ListParagraph"/>
              <w:bidi/>
              <w:ind w:left="0"/>
              <w:jc w:val="center"/>
              <w:rPr>
                <w:rFonts w:asciiTheme="majorBidi" w:hAnsiTheme="majorBidi" w:cstheme="majorBidi"/>
              </w:rPr>
            </w:pPr>
          </w:p>
          <w:p w:rsidR="004A7F5C" w:rsidRPr="00D811A1" w:rsidRDefault="004A7F5C" w:rsidP="00812C0E">
            <w:pPr>
              <w:spacing w:before="100" w:beforeAutospacing="1" w:after="100" w:afterAutospacing="1"/>
              <w:rPr>
                <w:rFonts w:asciiTheme="majorBidi" w:eastAsia="Times New Roman" w:hAnsiTheme="majorBidi" w:cstheme="majorBidi"/>
              </w:rPr>
            </w:pPr>
            <w:r w:rsidRPr="00D811A1">
              <w:rPr>
                <w:rFonts w:asciiTheme="majorBidi" w:eastAsia="Times New Roman" w:hAnsiTheme="majorBidi" w:cstheme="majorBidi"/>
              </w:rPr>
              <w:t xml:space="preserve">This paper describes an anticipated mobility between the two access technologies WLAN and UMTS considered as complementary technologies for next generation networks integration. We propose to apply Anticipated Vertical Handover (AVHO) in the integration of the third generation wireless communication (3G) from one side and WLAN 802.11 from the other side. The proposed AVHO offers mobile users, roaming in next generation networks, fast handover based on a pre-network selection such as the "make-before-break" approach used in fast MIP handovers. AVHO is adopted in the context of WLAN to UMTS handovers and vice versa to ensure service continuity with minimum HO latency and packet loss. </w:t>
            </w:r>
          </w:p>
          <w:p w:rsidR="004A7F5C" w:rsidRPr="00D811A1" w:rsidRDefault="004A7F5C" w:rsidP="00812C0E">
            <w:pPr>
              <w:pStyle w:val="ListParagraph"/>
              <w:bidi/>
              <w:ind w:left="0"/>
              <w:jc w:val="right"/>
              <w:rPr>
                <w:rFonts w:asciiTheme="majorBidi" w:hAnsiTheme="majorBidi" w:cstheme="majorBidi"/>
              </w:rPr>
            </w:pPr>
          </w:p>
          <w:p w:rsidR="004A7F5C" w:rsidRPr="00D811A1" w:rsidRDefault="004A7F5C" w:rsidP="00812C0E">
            <w:pPr>
              <w:pStyle w:val="ListParagraph"/>
              <w:bidi/>
              <w:ind w:left="0"/>
              <w:jc w:val="center"/>
              <w:rPr>
                <w:rFonts w:asciiTheme="majorBidi" w:hAnsiTheme="majorBidi" w:cstheme="majorBidi"/>
              </w:rPr>
            </w:pPr>
          </w:p>
          <w:p w:rsidR="004A7F5C" w:rsidRPr="00D811A1" w:rsidRDefault="004A7F5C" w:rsidP="00812C0E">
            <w:pPr>
              <w:pStyle w:val="ListParagraph"/>
              <w:bidi/>
              <w:ind w:left="0"/>
              <w:jc w:val="center"/>
              <w:rPr>
                <w:rFonts w:asciiTheme="majorBidi" w:hAnsiTheme="majorBidi" w:cstheme="majorBidi"/>
                <w:rtl/>
              </w:rPr>
            </w:pPr>
          </w:p>
        </w:tc>
        <w:tc>
          <w:tcPr>
            <w:tcW w:w="4928" w:type="dxa"/>
          </w:tcPr>
          <w:p w:rsidR="004A7F5C" w:rsidRPr="00D811A1" w:rsidRDefault="004A7F5C" w:rsidP="00812C0E">
            <w:pPr>
              <w:pStyle w:val="ListParagraph"/>
              <w:bidi/>
              <w:ind w:left="0"/>
              <w:jc w:val="right"/>
              <w:rPr>
                <w:rFonts w:asciiTheme="majorBidi" w:hAnsiTheme="majorBidi" w:cstheme="majorBidi"/>
                <w:rtl/>
              </w:rPr>
            </w:pPr>
            <w:r w:rsidRPr="00D811A1">
              <w:rPr>
                <w:rFonts w:asciiTheme="majorBidi" w:hAnsiTheme="majorBidi" w:cstheme="majorBidi"/>
              </w:rPr>
              <w:t>Research Abstract (English)</w:t>
            </w:r>
          </w:p>
          <w:p w:rsidR="004A7F5C" w:rsidRPr="00D811A1" w:rsidRDefault="004A7F5C" w:rsidP="00812C0E">
            <w:pPr>
              <w:pStyle w:val="ListParagraph"/>
              <w:bidi/>
              <w:ind w:left="0"/>
              <w:rPr>
                <w:rFonts w:asciiTheme="majorBidi" w:hAnsiTheme="majorBidi" w:cstheme="majorBidi"/>
                <w:rtl/>
              </w:rPr>
            </w:pPr>
          </w:p>
        </w:tc>
      </w:tr>
    </w:tbl>
    <w:p w:rsidR="000826CA" w:rsidRDefault="000826CA">
      <w:pPr>
        <w:rPr>
          <w:rFonts w:hint="cs"/>
        </w:rPr>
      </w:pPr>
    </w:p>
    <w:sectPr w:rsidR="000826CA" w:rsidSect="008C2D99">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A7F5C"/>
    <w:rsid w:val="000826CA"/>
    <w:rsid w:val="004A7F5C"/>
    <w:rsid w:val="008C2D9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F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7F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A7F5C"/>
    <w:pPr>
      <w:ind w:left="720"/>
      <w:contextualSpacing/>
    </w:pPr>
  </w:style>
  <w:style w:type="character" w:customStyle="1" w:styleId="longtext">
    <w:name w:val="long_text"/>
    <w:basedOn w:val="DefaultParagraphFont"/>
    <w:rsid w:val="004A7F5C"/>
  </w:style>
  <w:style w:type="character" w:customStyle="1" w:styleId="hps">
    <w:name w:val="hps"/>
    <w:basedOn w:val="DefaultParagraphFont"/>
    <w:rsid w:val="004A7F5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oogle.com.sa/dictionary?source=translation&amp;hl=ar&amp;q=GPRS%20simulation%20in%20NS%20for%20WLAN%20and%20GPRS%20integration&amp;langpair=en|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1941</Characters>
  <Application>Microsoft Office Word</Application>
  <DocSecurity>0</DocSecurity>
  <Lines>16</Lines>
  <Paragraphs>4</Paragraphs>
  <ScaleCrop>false</ScaleCrop>
  <Company/>
  <LinksUpToDate>false</LinksUpToDate>
  <CharactersWithSpaces>2277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2011-03-18T16:49:00Z</dcterms:created>
  <dcterms:modified xsi:type="dcterms:W3CDTF">2011-03-18T16:49:00Z</dcterms:modified>
</cp:coreProperties>
</file>